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012B25" w:rsidR="00124BEA" w:rsidP="00124BEA" w:rsidRDefault="00124BEA" w14:paraId="0E572405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Year 2 Learning Objectives</w:t>
      </w:r>
    </w:p>
    <w:p w:rsidR="00124BEA" w:rsidP="00124BEA" w:rsidRDefault="00124BEA" w14:paraId="400D95D4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 xml:space="preserve">Spring Term w/b Monday </w:t>
      </w:r>
      <w:r>
        <w:rPr>
          <w:rFonts w:ascii="NTPreCursivefk" w:hAnsi="NTPreCursivefk"/>
          <w:sz w:val="44"/>
          <w:szCs w:val="44"/>
          <w:u w:val="single"/>
        </w:rPr>
        <w:t>10</w:t>
      </w:r>
      <w:r w:rsidRPr="00124BEA">
        <w:rPr>
          <w:rFonts w:ascii="NTPreCursivefk" w:hAnsi="NTPreCursivefk"/>
          <w:sz w:val="44"/>
          <w:szCs w:val="44"/>
          <w:u w:val="single"/>
          <w:vertAlign w:val="superscript"/>
        </w:rPr>
        <w:t>th</w:t>
      </w:r>
      <w:r>
        <w:rPr>
          <w:rFonts w:ascii="NTPreCursivefk" w:hAnsi="NTPreCursivefk"/>
          <w:sz w:val="44"/>
          <w:szCs w:val="44"/>
          <w:u w:val="single"/>
        </w:rPr>
        <w:t xml:space="preserve"> </w:t>
      </w:r>
      <w:r>
        <w:rPr>
          <w:rFonts w:ascii="NTPreCursivefk" w:hAnsi="NTPreCursivefk"/>
          <w:sz w:val="44"/>
          <w:szCs w:val="44"/>
          <w:u w:val="single"/>
        </w:rPr>
        <w:t>March</w:t>
      </w:r>
      <w:r w:rsidRPr="033DFA37">
        <w:rPr>
          <w:rFonts w:ascii="NTPreCursivefk" w:hAnsi="NTPreCursivefk"/>
          <w:sz w:val="44"/>
          <w:szCs w:val="44"/>
          <w:u w:val="single"/>
        </w:rPr>
        <w:t xml:space="preserve"> </w:t>
      </w:r>
    </w:p>
    <w:p w:rsidR="00124BEA" w:rsidP="00124BEA" w:rsidRDefault="00124BEA" w14:paraId="6439C0D4" w14:textId="77777777">
      <w:pPr>
        <w:rPr>
          <w:rFonts w:ascii="NTPreCursivefk" w:hAnsi="NTPreCursivefk"/>
          <w:sz w:val="36"/>
          <w:szCs w:val="36"/>
          <w:u w:val="single"/>
        </w:rPr>
      </w:pPr>
    </w:p>
    <w:p w:rsidRPr="00012B25" w:rsidR="00124BEA" w:rsidP="00124BEA" w:rsidRDefault="00124BEA" w14:paraId="16A7648D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E326AF" w:rsidR="00124BEA" w:rsidP="00124BEA" w:rsidRDefault="00124BEA" w14:paraId="2EC93F67" w14:textId="77777777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>
        <w:rPr>
          <w:rFonts w:ascii="NTPreCursivefk" w:hAnsi="NTPreCursivefk"/>
          <w:bCs/>
          <w:sz w:val="36"/>
          <w:szCs w:val="36"/>
        </w:rPr>
        <w:t xml:space="preserve">to plan, write and edit our own 5-part story. </w:t>
      </w:r>
    </w:p>
    <w:p w:rsidR="00124BEA" w:rsidP="3439596A" w:rsidRDefault="00124BEA" w14:paraId="79922583" w14:textId="1B88FEEA">
      <w:pPr>
        <w:rPr>
          <w:rFonts w:ascii="NTPreCursivefk" w:hAnsi="NTPreCursivefk"/>
          <w:sz w:val="36"/>
          <w:szCs w:val="36"/>
          <w:bdr w:val="none" w:color="auto" w:sz="0" w:space="0" w:frame="1"/>
        </w:rPr>
      </w:pPr>
      <w:r w:rsidRPr="3439596A" w:rsidR="00124BEA">
        <w:rPr>
          <w:rFonts w:ascii="NTPreCursivefk" w:hAnsi="NTPreCursivefk"/>
          <w:sz w:val="36"/>
          <w:szCs w:val="36"/>
        </w:rPr>
        <w:t xml:space="preserve">Maths – </w:t>
      </w:r>
      <w:r w:rsidRPr="3439596A" w:rsidR="18332151">
        <w:rPr>
          <w:rFonts w:ascii="NTPreCursivefk" w:hAnsi="NTPreCursivefk"/>
          <w:sz w:val="36"/>
          <w:szCs w:val="36"/>
        </w:rPr>
        <w:t xml:space="preserve">Compare mass. Measure in grams and kilograms. </w:t>
      </w:r>
    </w:p>
    <w:p w:rsidRPr="00012B25" w:rsidR="00124BEA" w:rsidP="00124BEA" w:rsidRDefault="00124BEA" w14:paraId="76B5FD49" w14:textId="77777777">
      <w:pPr>
        <w:rPr>
          <w:rFonts w:ascii="NTPreCursivefk" w:hAnsi="NTPreCursivefk"/>
          <w:sz w:val="36"/>
          <w:szCs w:val="36"/>
          <w:highlight w:val="yellow"/>
        </w:rPr>
      </w:pPr>
    </w:p>
    <w:p w:rsidRPr="00012B25" w:rsidR="00124BEA" w:rsidP="00124BEA" w:rsidRDefault="00124BEA" w14:paraId="3EC2CC89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124BEA" w:rsidP="00124BEA" w:rsidRDefault="00124BEA" w14:paraId="522D76B7" w14:textId="77777777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– </w:t>
      </w:r>
      <w:r>
        <w:rPr>
          <w:rFonts w:ascii="NTPreCursivefk" w:hAnsi="NTPreCursivefk"/>
          <w:sz w:val="36"/>
          <w:szCs w:val="36"/>
        </w:rPr>
        <w:t>to know that Earth travels around the Sun (orbit and rotation).</w:t>
      </w:r>
    </w:p>
    <w:p w:rsidR="00124BEA" w:rsidP="00124BEA" w:rsidRDefault="00124BEA" w14:paraId="3530273E" w14:textId="77777777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– </w:t>
      </w:r>
      <w:r>
        <w:rPr>
          <w:rFonts w:ascii="NTPreCursivefk" w:hAnsi="NTPreCursivefk"/>
          <w:sz w:val="36"/>
          <w:szCs w:val="36"/>
        </w:rPr>
        <w:t>to recognise that objects can be represented by pictures.</w:t>
      </w:r>
    </w:p>
    <w:p w:rsidRPr="005615F8" w:rsidR="00124BEA" w:rsidP="00124BEA" w:rsidRDefault="00124BEA" w14:paraId="135E4A6C" w14:textId="77777777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PSHE –</w:t>
      </w:r>
      <w:r>
        <w:rPr>
          <w:rFonts w:ascii="NTPreCursivefk" w:hAnsi="NTPreCursivefk"/>
          <w:bCs/>
          <w:sz w:val="36"/>
          <w:szCs w:val="36"/>
        </w:rPr>
        <w:t xml:space="preserve"> to e</w:t>
      </w:r>
      <w:r w:rsidRPr="00124BEA">
        <w:rPr>
          <w:rFonts w:ascii="NTPreCursivefk" w:hAnsi="NTPreCursivefk"/>
          <w:bCs/>
          <w:sz w:val="36"/>
          <w:szCs w:val="36"/>
        </w:rPr>
        <w:t>xplain and be able to use, strategies for dealing with impulsive behaviour.</w:t>
      </w:r>
    </w:p>
    <w:p w:rsidRPr="00012B25" w:rsidR="00124BEA" w:rsidP="00124BEA" w:rsidRDefault="00124BEA" w14:paraId="2359BCFF" w14:textId="77777777">
      <w:pPr>
        <w:pStyle w:val="NoSpacing"/>
        <w:rPr>
          <w:rFonts w:ascii="NTPreCursivefk" w:hAnsi="NTPreCursivefk"/>
          <w:sz w:val="36"/>
          <w:szCs w:val="36"/>
        </w:rPr>
      </w:pPr>
      <w:r w:rsidRPr="033DFA37">
        <w:rPr>
          <w:rFonts w:ascii="NTPreCursivefk" w:hAnsi="NTPreCursivefk"/>
          <w:sz w:val="36"/>
          <w:szCs w:val="36"/>
        </w:rPr>
        <w:t xml:space="preserve">PE – </w:t>
      </w:r>
      <w:r>
        <w:rPr>
          <w:rFonts w:ascii="NTPreCursivefk" w:hAnsi="NTPreCursivefk"/>
          <w:sz w:val="36"/>
          <w:szCs w:val="36"/>
        </w:rPr>
        <w:t xml:space="preserve">Netball – to show a range of actions to keep the ball under control. Gymnastics – to perform a range of actions with control and coordination. </w:t>
      </w:r>
    </w:p>
    <w:p w:rsidRPr="0081333D" w:rsidR="00124BEA" w:rsidP="3D64B964" w:rsidRDefault="00124BEA" w14:paraId="44B4391C" w14:textId="38F22961">
      <w:pPr>
        <w:spacing w:after="0" w:line="240" w:lineRule="auto"/>
        <w:textAlignment w:val="baseline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  <w:r w:rsidRPr="3D64B964" w:rsidR="00124BEA">
        <w:rPr>
          <w:rFonts w:ascii="NTPreCursivefk" w:hAnsi="NTPreCursivefk" w:eastAsia="Times New Roman" w:cs="Segoe UI"/>
          <w:sz w:val="36"/>
          <w:szCs w:val="36"/>
          <w:lang w:eastAsia="en-GB"/>
        </w:rPr>
        <w:t xml:space="preserve">Music – </w:t>
      </w:r>
      <w:r w:rsidRPr="3D64B964" w:rsidR="326D7EBB">
        <w:rPr>
          <w:rFonts w:ascii="NTPreCursivefk" w:hAnsi="NTPreCursivefk" w:eastAsia="NTPreCursivefk" w:cs="NTPreCursivef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GB"/>
        </w:rPr>
        <w:t>Inventing a musical story with recorder notes G, B, C, A</w:t>
      </w:r>
    </w:p>
    <w:p w:rsidRPr="0081333D" w:rsidR="00124BEA" w:rsidP="00124BEA" w:rsidRDefault="00124BEA" w14:paraId="50FFC30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1333D">
        <w:rPr>
          <w:rFonts w:ascii="NTPreCursivefk" w:hAnsi="NTPreCursivefk" w:eastAsia="Times New Roman" w:cs="Segoe UI"/>
          <w:sz w:val="36"/>
          <w:szCs w:val="36"/>
          <w:lang w:eastAsia="en-GB"/>
        </w:rPr>
        <w:t xml:space="preserve">RE – </w:t>
      </w:r>
      <w:r>
        <w:rPr>
          <w:rFonts w:ascii="NTPreCursivefk" w:hAnsi="NTPreCursivefk" w:eastAsia="Times New Roman" w:cs="Segoe UI"/>
          <w:sz w:val="36"/>
          <w:szCs w:val="36"/>
          <w:lang w:eastAsia="en-GB"/>
        </w:rPr>
        <w:t xml:space="preserve">Why do Christians call Jesus ‘Saviour’? </w:t>
      </w:r>
    </w:p>
    <w:p w:rsidRPr="0081333D" w:rsidR="00124BEA" w:rsidP="00124BEA" w:rsidRDefault="00124BEA" w14:paraId="7EE9FE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1333D">
        <w:rPr>
          <w:rFonts w:ascii="NTPreCursivefk" w:hAnsi="NTPreCursivefk" w:eastAsia="Times New Roman" w:cs="Segoe UI"/>
          <w:sz w:val="36"/>
          <w:szCs w:val="36"/>
          <w:lang w:eastAsia="en-GB"/>
        </w:rPr>
        <w:t>Spellings –</w:t>
      </w:r>
      <w:r w:rsidRPr="0081333D">
        <w:rPr>
          <w:rFonts w:ascii="Cambria" w:hAnsi="Cambria" w:eastAsia="Times New Roman" w:cs="Cambria"/>
          <w:sz w:val="36"/>
          <w:szCs w:val="36"/>
          <w:lang w:eastAsia="en-GB"/>
        </w:rPr>
        <w:t>  </w:t>
      </w:r>
    </w:p>
    <w:p w:rsidRPr="0081333D" w:rsidR="00124BEA" w:rsidP="00124BEA" w:rsidRDefault="00124BEA" w14:paraId="71CC7A46" w14:textId="479A158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8FF03DE" w:rsidR="00124BEA">
        <w:rPr>
          <w:rFonts w:ascii="NTPreCursivefk" w:hAnsi="NTPreCursivefk" w:eastAsia="Times New Roman" w:cs="Segoe UI"/>
          <w:sz w:val="36"/>
          <w:szCs w:val="36"/>
          <w:lang w:eastAsia="en-GB"/>
        </w:rPr>
        <w:t xml:space="preserve">RULE: </w:t>
      </w:r>
      <w:r w:rsidRPr="48FF03DE" w:rsidR="42C8D89A">
        <w:rPr>
          <w:rFonts w:ascii="NTPreCursivefk" w:hAnsi="NTPreCursivefk" w:eastAsia="Times New Roman" w:cs="Segoe UI"/>
          <w:sz w:val="36"/>
          <w:szCs w:val="36"/>
          <w:lang w:eastAsia="en-GB"/>
        </w:rPr>
        <w:t>Why do I swap the ‘y’ for an ‘</w:t>
      </w:r>
      <w:r w:rsidRPr="48FF03DE" w:rsidR="42C8D89A">
        <w:rPr>
          <w:rFonts w:ascii="NTPreCursivefk" w:hAnsi="NTPreCursivefk" w:eastAsia="Times New Roman" w:cs="Segoe UI"/>
          <w:sz w:val="36"/>
          <w:szCs w:val="36"/>
          <w:lang w:eastAsia="en-GB"/>
        </w:rPr>
        <w:t>i</w:t>
      </w:r>
      <w:r w:rsidRPr="48FF03DE" w:rsidR="42C8D89A">
        <w:rPr>
          <w:rFonts w:ascii="NTPreCursivefk" w:hAnsi="NTPreCursivefk" w:eastAsia="Times New Roman" w:cs="Segoe UI"/>
          <w:sz w:val="36"/>
          <w:szCs w:val="36"/>
          <w:lang w:eastAsia="en-GB"/>
        </w:rPr>
        <w:t>’ when I add the suffix ‘-es’</w:t>
      </w:r>
    </w:p>
    <w:p w:rsidR="48FF03DE" w:rsidP="48FF03DE" w:rsidRDefault="48FF03DE" w14:paraId="65BC21B3" w14:textId="0EB2BC29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Pr="005615F8" w:rsidR="00124BEA" w:rsidP="00124BEA" w:rsidRDefault="00124BEA" w14:paraId="449FCE2F" w14:textId="5316968E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 w:rsidRPr="48FF03DE" w:rsidR="00124BEA">
        <w:rPr>
          <w:rFonts w:ascii="NTPreCursivefk" w:hAnsi="NTPreCursivefk" w:eastAsia="NTPreCursivefk" w:cs="NTPreCursivefk"/>
          <w:sz w:val="36"/>
          <w:szCs w:val="36"/>
        </w:rPr>
        <w:t>*</w:t>
      </w:r>
      <w:r w:rsidRPr="48FF03DE" w:rsidR="00124BEA">
        <w:rPr>
          <w:rFonts w:ascii="NTPreCursivefk" w:hAnsi="NTPreCursivefk" w:eastAsia="NTPreCursivefk" w:cs="NTPreCursivefk"/>
          <w:sz w:val="36"/>
          <w:szCs w:val="36"/>
        </w:rPr>
        <w:t>Next page for practise words and dictation</w:t>
      </w:r>
      <w:r w:rsidRPr="48FF03DE" w:rsidR="00124BEA">
        <w:rPr>
          <w:rFonts w:ascii="NTPreCursivefk" w:hAnsi="NTPreCursivefk" w:eastAsia="NTPreCursivefk" w:cs="NTPreCursivefk"/>
          <w:sz w:val="36"/>
          <w:szCs w:val="36"/>
        </w:rPr>
        <w:t>*</w:t>
      </w:r>
    </w:p>
    <w:p w:rsidR="00124BEA" w:rsidP="00124BEA" w:rsidRDefault="00124BEA" w14:paraId="41B5C720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124BEA" w:rsidP="00124BEA" w:rsidRDefault="00124BEA" w14:paraId="75A4FF99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0FC0D87" wp14:editId="209FDBF9">
            <wp:extent cx="5731510" cy="34029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EA" w:rsidP="00124BEA" w:rsidRDefault="00124BEA" w14:paraId="55EE7CC7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124BEA" w:rsidP="00124BEA" w:rsidRDefault="00124BEA" w14:paraId="3935C339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  <w:u w:val="single"/>
        </w:rPr>
      </w:pPr>
      <w:r w:rsidRPr="005615F8">
        <w:rPr>
          <w:rFonts w:ascii="NTPreCursivefk" w:hAnsi="NTPreCursivefk" w:eastAsia="NTPreCursivefk" w:cs="NTPreCursivefk"/>
          <w:sz w:val="36"/>
          <w:szCs w:val="36"/>
          <w:u w:val="single"/>
        </w:rPr>
        <w:t>Dictation:</w:t>
      </w:r>
    </w:p>
    <w:p w:rsidRPr="005615F8" w:rsidR="00124BEA" w:rsidP="00124BEA" w:rsidRDefault="00124BEA" w14:paraId="5E8F2EE2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  <w:u w:val="single"/>
        </w:rPr>
      </w:pPr>
    </w:p>
    <w:p w:rsidR="00124BEA" w:rsidP="00124BEA" w:rsidRDefault="00124BEA" w14:paraId="36067163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2FC69076" wp14:editId="6FA0D0C3">
            <wp:extent cx="5731510" cy="1508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EA" w:rsidP="00124BEA" w:rsidRDefault="00124BEA" w14:paraId="3038C246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124BEA" w:rsidP="00124BEA" w:rsidRDefault="00124BEA" w14:paraId="0C81D312" w14:textId="77777777">
      <w:pPr>
        <w:pStyle w:val="NoSpacing"/>
        <w:rPr>
          <w:rFonts w:ascii="NTPreCursivefk" w:hAnsi="NTPreCursivefk" w:eastAsia="NTPreCursivefk" w:cs="NTPreCursivefk"/>
          <w:sz w:val="36"/>
          <w:szCs w:val="36"/>
        </w:rPr>
      </w:pPr>
    </w:p>
    <w:p w:rsidR="00124BEA" w:rsidP="00124BEA" w:rsidRDefault="00124BEA" w14:paraId="6B8B12A2" w14:textId="77777777">
      <w:pPr>
        <w:rPr>
          <w:rFonts w:ascii="NTPreCursivefk" w:hAnsi="NTPreCursivefk"/>
          <w:sz w:val="36"/>
          <w:szCs w:val="36"/>
          <w:u w:val="single"/>
        </w:rPr>
      </w:pPr>
      <w:r w:rsidRPr="033DFA37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:rsidR="00124BEA" w:rsidP="00124BEA" w:rsidRDefault="00124BEA" w14:paraId="5156BA6D" w14:textId="77777777">
      <w:r>
        <w:rPr>
          <w:noProof/>
        </w:rPr>
        <w:drawing>
          <wp:inline distT="0" distB="0" distL="0" distR="0" wp14:anchorId="0775B723" wp14:editId="49FF7B94">
            <wp:extent cx="5731510" cy="19081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5615F8" w:rsidR="00124BEA" w:rsidP="00124BEA" w:rsidRDefault="00124BEA" w14:paraId="073ABEE5" w14:textId="77777777">
      <w:pPr>
        <w:rPr>
          <w:rFonts w:ascii="Comic Sans MS" w:hAnsi="Comic Sans MS"/>
          <w:b/>
          <w:sz w:val="40"/>
          <w:szCs w:val="40"/>
          <w:u w:val="single"/>
        </w:rPr>
      </w:pPr>
    </w:p>
    <w:p w:rsidR="000367CE" w:rsidRDefault="000367CE" w14:paraId="73B9FBC1" w14:textId="77777777"/>
    <w:sectPr w:rsidR="000367CE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0367CE"/>
    <w:rsid w:val="00124BEA"/>
    <w:rsid w:val="18332151"/>
    <w:rsid w:val="326D7EBB"/>
    <w:rsid w:val="3439596A"/>
    <w:rsid w:val="3D64B964"/>
    <w:rsid w:val="42C8D89A"/>
    <w:rsid w:val="48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974E"/>
  <w15:chartTrackingRefBased/>
  <w15:docId w15:val="{594C82AE-87A4-45C4-ACC5-7167E5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4BEA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qFormat/>
    <w:rsid w:val="00124BEA"/>
    <w:pPr>
      <w:spacing w:after="0" w:line="240" w:lineRule="auto"/>
    </w:pPr>
    <w:rPr>
      <w:rFonts w:ascii="Calibri" w:hAnsi="Calibri" w:eastAsia="Calibri" w:cs="Times New Roman"/>
    </w:rPr>
  </w:style>
  <w:style w:type="character" w:styleId="normaltextrun" w:customStyle="1">
    <w:name w:val="normaltextrun"/>
    <w:rsid w:val="0012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Props1.xml><?xml version="1.0" encoding="utf-8"?>
<ds:datastoreItem xmlns:ds="http://schemas.openxmlformats.org/officeDocument/2006/customXml" ds:itemID="{E2515ADC-9391-435E-9C93-8647A05A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2F1C7-F3B7-4E7E-AE7A-1126DEF6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F6FA4-1467-4CF0-90A7-289B7AA5C9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Valley End Infants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Peden</dc:creator>
  <keywords/>
  <dc:description/>
  <lastModifiedBy>Harriet Price</lastModifiedBy>
  <revision>4</revision>
  <dcterms:created xsi:type="dcterms:W3CDTF">2025-03-03T12:52:00.0000000Z</dcterms:created>
  <dcterms:modified xsi:type="dcterms:W3CDTF">2025-03-03T16:51:59.7247661Z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